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III 91</w:t>
      </w:r>
    </w:p>
    <w:p>
      <w:r>
        <w:t>Bundesgericht (BGE), 1982-11-10, FR</w:t>
      </w:r>
    </w:p>
    <w:p>
      <w:r>
        <w:rPr>
          <w:b/>
        </w:rPr>
        <w:t xml:space="preserve">Quelle: </w:t>
      </w:r>
      <w:r>
        <w:t>https://mcp.opencaselaw.ch/entscheid/bge_108 III 91</w:t>
      </w:r>
    </w:p>
    <w:p>
      <w:r>
        <w:t>FR: ATF 108 III 91</w:t>
      </w:r>
    </w:p>
    <w:p>
      <w:r>
        <w:t>IT: DTF 108 III 91</w:t>
      </w:r>
    </w:p>
    <w:p>
      <w:pPr>
        <w:pStyle w:val="Heading2"/>
      </w:pPr>
      <w:r>
        <w:t>Regeste</w:t>
      </w:r>
    </w:p>
    <w:p>
      <w:r>
        <w:t>Regeste Private Pfandverwertung und Arrest. Die private Verwertung einer Pfandsache kann nicht durchgeführt werden, wenn diese gepfändet oder arrestiert worden ist (Bestätigung der Rechtsprechung).</w:t>
      </w:r>
    </w:p>
    <w:p>
      <w:pPr>
        <w:pStyle w:val="Heading2"/>
      </w:pPr>
      <w:r>
        <w:t>Erwägungen</w:t>
      </w:r>
    </w:p>
    <w:p>
      <w:r>
        <w:rPr>
          <w:b/>
        </w:rPr>
        <w:t>E. 3</w:t>
      </w:r>
    </w:p>
    <w:p>
      <w:r>
        <w:t>La recourante fait valoir à titre principal que la cour cantonale a violé les art. 109 et 275 LP en refusant de considérer que le droit de gage invoqué par elle avait pour effet de rendre caduc le séquestre portant sur l'objet grevé du gage. a) L'existence du droit de gage de la banque sur l'objet séquestré n'est nullement contestée et c'est à juste titre que l'Office a fait application de l' art. 109 LP , prévu pour la saisie et dont l' art. 275 LP étend la portée au cas du séquestre. La recourante estime à tort que, la créancière séquestrante ayant renoncé à contester le droit revendiqué, le séquestre tombait de plein droit. Elle appuie son point de vue sur les commentaires de Jaeger et Oftinger. Or on constate que celui-ci (OFTINGER, 2e éd., n. 53 ad art. 891 CC ) ne motive nullement son affirmation, qu'au surplus la nouvelle édition du commentaire précise au contraire que la réalisation privée du gage est exclue lorsqu'un tiers requiert la saisie ou le séquestre de l'objet du gage (OFTINGER/BÄR, 3e éd., n. 53 ad art. 891 CC ), et que celui-là reconnaît, à l'encontre de la thèse soutenue par la recourante, "que si le tiers ne prétend qu'à un droit de gage sur la chose saisie ou à une charge analogue, la saisie subsistera mais l'on devra, lors de la réalisation, prendre en considération ce droit conformément aux règles posées par les art. 126, 127 al. 2, 141, 142 al. 2, 146 al. 2 et 219 al. 1" (JAEGER, vol. I, p. 382 ch. 20 ad art. 106 LP ). Cette citation, qui ne mentionne que le cas de la saisie, est applicable au séquestre en vertu de l' art. 275 LP ; elle infirme ainsi le point de vue de la recourante. b) Selon la recourante, le contrat de constitution de gage lui confère un droit réel portant sur l'objet grevé dont la réalisation peut être effectuée de gré à gré "sans autres formalités et sans préavis" dès la mise en demeure du débiteur; elle en déduit que les droits de ce dernier et de BGE 108 III 91 S. 94 la créancière séquestrante seraient dès lors exclus par son propre droit. Une telle affirmation est contraire à la jurisprudence bien établie du Tribunal fédéral ( ATF 81 III 58 ss) selon laquelle le droit du créancier gagiste de vendre l'objet du gage de gré à gré ne peut être exercé lorsque celui-ci est soumis à une saisie ou à un séquestre. Appliqué au cas du séquestre, ce principe permet à l'office de prendre l'objet litigieux sous sa garde afin d'éviter qu'il ne puisse plus être ultérieurement saisi et réalisé en faveur du créancier séquestrant. Conformément aux art. 98 al. 4 et 275 LP , l'office est même autorisé à prendre sous sa garde des objets séquestrés dont un tiers se trouvait nanti à titre de gage. Ainsi, la clause du contrat de gage stipulant que le créancier gagiste a le droit de réaliser sa sûreté de gré à gré ne peut empêcher une éventuelle vente publique de l'objet litigieux en faveur des autres créanciers. On ne saurait en effet concevoir que, par une telle clause, le débiteur s'engage envers un créancier gagiste au détriment de tous les autres créanciers. En l'espèce, l'opposition de la créancière séquestrante à la vente privée de l'objet qui se trouvait en possession de la recourante, suffisait à faire obstacle à l'exercice du droit consensuel invoqué par cette dernière. De surcroît, le seul principe que l'on peut déduire des art. 106 ss LP est qu'une saisie ou un séquestre est caduc lorsqu'un tiers revendique avec succès un droit de propriété sur l'objet saisi ou séquestré, ou un autre droit à la possession excluant celui du débiteur ou du créancier séquestrant. Contrairement à ce que la recourante prétend, tel n'est pas le cas d'un droit de gage ou d'un droit analogue même assorti du droit consensuel de vendre l'objet grevé de gré à gré, qui n'exclut en effet nullement les droits du débiteur ou de la créancière sur l'objet séquestré (JAEGER, n. 5 et 20 ad art. 106; AMONN, p. 190; FRITZSCHE, I p. 230).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